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ограмма вебинара Минэкономразвития России 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18 февраля, 10:00-12:15 (Московское время)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Тема: “Социальные медиа как каналы продвижения компаний и бренда”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Модератор: Роман Султанов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1830"/>
        <w:gridCol w:w="4560"/>
        <w:gridCol w:w="3330"/>
        <w:tblGridChange w:id="0">
          <w:tblGrid>
            <w:gridCol w:w="405"/>
            <w:gridCol w:w="1830"/>
            <w:gridCol w:w="4560"/>
            <w:gridCol w:w="3330"/>
          </w:tblGrid>
        </w:tblGridChange>
      </w:tblGrid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выступления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выступления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10:00-10:05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Вступительное слово модератора                      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“Сообщества - новый бренд! Как объединения людей меняют рынок маркетинга»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Александр Воловик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Владелец Digital агентства Just Content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Ответы на вопросы</w:t>
            </w:r>
          </w:p>
        </w:tc>
      </w:tr>
      <w:tr>
        <w:trPr>
          <w:trHeight w:val="1009.8925781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10:30-10:50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“Создание контент-стратегии”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Ксения Прохорова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Партнер агентства «Maniaco». Партнер Gotovtsev&amp;Co. Соавтор методических пособий по написанию маркетинг стратегии компании и персонального бренда PSCN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.978515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Ответы на вопросы</w:t>
            </w:r>
          </w:p>
        </w:tc>
      </w:tr>
      <w:tr>
        <w:trPr>
          <w:trHeight w:val="728.9355468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rtl w:val="0"/>
              </w:rPr>
              <w:t xml:space="preserve">Продающий контент в соцсетях”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Федор Жуков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Автор профильных статей и спикер digital-мероприятий.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11:15-11:20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Ответы на вопросы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11:20-11:40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“Тренды 2021 года”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Анна Протасова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Основатель Продюсерского центра GenZ. Трендсеттер. Маркетолог.Запустила более 20 экспертных продуктов по блоггингу и таргетингу. Обучила более 100 тысяч человек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11:40-11:45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Ответы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.9355468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11:45-12:05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Performance marketing в SMM - как создавать потребность и лояльность к своему продукту, а продавать ваш продукт целевой аудитории, без сравнения с конкурентами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Семен Кольт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Эксперт по маркетингу, основатель маркетингового агентства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12:05-12:10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Ответы на вопросы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12:10-12:15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Заключительное слово модератора   </w:t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